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9" w:rsidRPr="00124FE9" w:rsidRDefault="00124FE9" w:rsidP="00124FE9">
      <w:pPr>
        <w:autoSpaceDE w:val="0"/>
        <w:autoSpaceDN w:val="0"/>
        <w:adjustRightInd w:val="0"/>
        <w:spacing w:before="57" w:after="170" w:line="360" w:lineRule="atLeast"/>
        <w:textAlignment w:val="center"/>
        <w:rPr>
          <w:rFonts w:cs="AgendaPl Bold"/>
          <w:b/>
          <w:bCs/>
          <w:caps/>
          <w:color w:val="F7931D"/>
          <w:sz w:val="36"/>
          <w:szCs w:val="36"/>
        </w:rPr>
      </w:pPr>
      <w:bookmarkStart w:id="0" w:name="_GoBack"/>
      <w:bookmarkEnd w:id="0"/>
      <w:r w:rsidRPr="00124FE9">
        <w:rPr>
          <w:rFonts w:cs="AgendaPl Bold"/>
          <w:b/>
          <w:bCs/>
          <w:caps/>
          <w:color w:val="F7931D"/>
          <w:sz w:val="36"/>
          <w:szCs w:val="36"/>
        </w:rPr>
        <w:t>Plan wynikowy z rozkładem materiału – klasa 2</w:t>
      </w:r>
    </w:p>
    <w:p w:rsidR="00124FE9" w:rsidRPr="00124FE9" w:rsidRDefault="00124FE9" w:rsidP="00124FE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Dutch801HdEU"/>
          <w:color w:val="000000"/>
          <w:sz w:val="20"/>
          <w:szCs w:val="20"/>
        </w:rPr>
        <w:t xml:space="preserve">Opracowanie planu wynikowego wraz z rozkładem materiału nauczania dla klasy drugiej gimnazjum jest zadaniem nieco łatwiejszym niż dla klasy pierwszej. Znamy już bowiem swoich uczniów, wiemy, ile czasu potrzeba na poznanie przez nich nowych treści, a ile na ich utrwalenie, dla jakiej grupy uczniów wskazane są zajęcia wyrównawcze i czy należy zwrócić się do dyrektora szkoły z prośbą o zwiększenie liczby godzin na realizację materiału przeznaczonego dla tej klasy. </w:t>
      </w:r>
    </w:p>
    <w:p w:rsidR="00124FE9" w:rsidRPr="00124FE9" w:rsidRDefault="009E70A6" w:rsidP="00124FE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 xml:space="preserve">Podobnie jak w </w:t>
      </w:r>
      <w:r w:rsidR="00124FE9" w:rsidRPr="00124FE9">
        <w:rPr>
          <w:rFonts w:cs="Dutch801HdEU"/>
          <w:color w:val="000000"/>
          <w:sz w:val="20"/>
          <w:szCs w:val="20"/>
        </w:rPr>
        <w:t xml:space="preserve">klasie pierwszej poniższa propozycja uwzględnia dwa poziomy wymagań: podstawowy (P) i ponadpodstawowy (PP). </w:t>
      </w:r>
      <w:r>
        <w:rPr>
          <w:rFonts w:cs="Dutch801HdEU"/>
          <w:color w:val="000000"/>
          <w:sz w:val="20"/>
          <w:szCs w:val="20"/>
        </w:rPr>
        <w:t xml:space="preserve">Uczniowie, którzy pretendują do </w:t>
      </w:r>
      <w:r w:rsidR="00124FE9" w:rsidRPr="00124FE9">
        <w:rPr>
          <w:rFonts w:cs="Dutch801HdEU"/>
          <w:color w:val="000000"/>
          <w:sz w:val="20"/>
          <w:szCs w:val="20"/>
        </w:rPr>
        <w:t xml:space="preserve">oceny celującej, powinni sprostać dodatkowo </w:t>
      </w:r>
      <w:r w:rsidR="007D17B0">
        <w:rPr>
          <w:rFonts w:cs="Dutch801HdEU"/>
          <w:color w:val="000000"/>
          <w:sz w:val="20"/>
          <w:szCs w:val="20"/>
        </w:rPr>
        <w:br/>
      </w:r>
      <w:r w:rsidR="00124FE9" w:rsidRPr="00124FE9">
        <w:rPr>
          <w:rFonts w:cs="Dutch801HdEU"/>
          <w:color w:val="000000"/>
          <w:sz w:val="20"/>
          <w:szCs w:val="20"/>
        </w:rPr>
        <w:t>wymaganiom rozszerzającym podstawę</w:t>
      </w:r>
      <w:r>
        <w:rPr>
          <w:rFonts w:cs="Dutch801HdEU"/>
          <w:color w:val="000000"/>
          <w:sz w:val="20"/>
          <w:szCs w:val="20"/>
        </w:rPr>
        <w:t xml:space="preserve"> programową, tzn. mieć wiedzę i umiejętności oznaczone w </w:t>
      </w:r>
      <w:r w:rsidR="00124FE9" w:rsidRPr="00124FE9">
        <w:rPr>
          <w:rFonts w:cs="Dutch801HdEU"/>
          <w:color w:val="000000"/>
          <w:sz w:val="20"/>
          <w:szCs w:val="20"/>
        </w:rPr>
        <w:t>programie nauczania symbolem *. Przy opracowywaniu tej propozycji p</w:t>
      </w:r>
      <w:r>
        <w:rPr>
          <w:rFonts w:cs="Dutch801HdEU"/>
          <w:color w:val="000000"/>
          <w:sz w:val="20"/>
          <w:szCs w:val="20"/>
        </w:rPr>
        <w:t xml:space="preserve">lanu wynikowego przyjęto, że na realizację zajęć z matematyki </w:t>
      </w:r>
      <w:r w:rsidR="007D17B0">
        <w:rPr>
          <w:rFonts w:cs="Dutch801HdEU"/>
          <w:color w:val="000000"/>
          <w:sz w:val="20"/>
          <w:szCs w:val="20"/>
        </w:rPr>
        <w:br/>
      </w:r>
      <w:r>
        <w:rPr>
          <w:rFonts w:cs="Dutch801HdEU"/>
          <w:color w:val="000000"/>
          <w:sz w:val="20"/>
          <w:szCs w:val="20"/>
        </w:rPr>
        <w:t xml:space="preserve">w </w:t>
      </w:r>
      <w:r w:rsidR="00124FE9" w:rsidRPr="00124FE9">
        <w:rPr>
          <w:rFonts w:cs="Dutch801HdEU"/>
          <w:color w:val="000000"/>
          <w:sz w:val="20"/>
          <w:szCs w:val="20"/>
        </w:rPr>
        <w:t xml:space="preserve">drugiej klasie przewiduje się 4 godziny tygodniowo oraz że większość uczniów posiada umiejętności, określone programem nauczania </w:t>
      </w:r>
      <w:r w:rsidR="00124FE9" w:rsidRPr="00124FE9">
        <w:rPr>
          <w:rFonts w:cs="Dutch801HdEU"/>
          <w:i/>
          <w:iCs/>
          <w:color w:val="000000"/>
          <w:sz w:val="20"/>
          <w:szCs w:val="20"/>
        </w:rPr>
        <w:t>Matematyka wokół nas – Gimnazjum</w:t>
      </w:r>
      <w:r w:rsidR="00124FE9" w:rsidRPr="00124FE9">
        <w:rPr>
          <w:rFonts w:cs="Dutch801HdEU"/>
          <w:color w:val="000000"/>
          <w:sz w:val="20"/>
          <w:szCs w:val="20"/>
        </w:rPr>
        <w:t xml:space="preserve"> dla absolwenta pierwszej klasy. Znaczy to, że uczeń potrafi: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dodawać, odejmować, mnożyć i </w:t>
      </w:r>
      <w:r w:rsidRPr="00124FE9">
        <w:rPr>
          <w:rFonts w:cs="Dutch801HdEU"/>
          <w:color w:val="000000"/>
          <w:sz w:val="20"/>
          <w:szCs w:val="20"/>
        </w:rPr>
        <w:t>dzielić liczby wymier</w:t>
      </w:r>
      <w:r w:rsidR="009E70A6">
        <w:rPr>
          <w:rFonts w:cs="Dutch801HdEU"/>
          <w:color w:val="000000"/>
          <w:sz w:val="20"/>
          <w:szCs w:val="20"/>
        </w:rPr>
        <w:t xml:space="preserve">ne w pamięci, pisemnie oraz za pomocą kalkulatora z </w:t>
      </w:r>
      <w:r w:rsidRPr="00124FE9">
        <w:rPr>
          <w:rFonts w:cs="Dutch801HdEU"/>
          <w:color w:val="000000"/>
          <w:sz w:val="20"/>
          <w:szCs w:val="20"/>
        </w:rPr>
        <w:t>zachowaniem kolejności działań;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wykonywać obliczenia procentowe;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dokonywać przybliżeń liczb z nadmiarem i </w:t>
      </w:r>
      <w:r w:rsidRPr="00124FE9">
        <w:rPr>
          <w:rFonts w:cs="Dutch801HdEU"/>
          <w:color w:val="000000"/>
          <w:sz w:val="20"/>
          <w:szCs w:val="20"/>
        </w:rPr>
        <w:t>niedo</w:t>
      </w:r>
      <w:r w:rsidR="009E70A6">
        <w:rPr>
          <w:rFonts w:cs="Dutch801HdEU"/>
          <w:color w:val="000000"/>
          <w:sz w:val="20"/>
          <w:szCs w:val="20"/>
        </w:rPr>
        <w:t xml:space="preserve">miarem oraz zaokrąglać liczby z </w:t>
      </w:r>
      <w:r w:rsidRPr="00124FE9">
        <w:rPr>
          <w:rFonts w:cs="Dutch801HdEU"/>
          <w:color w:val="000000"/>
          <w:sz w:val="20"/>
          <w:szCs w:val="20"/>
        </w:rPr>
        <w:t>zadaną dokładnością, szacować wyniki;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obliczać potęgi l</w:t>
      </w:r>
      <w:r w:rsidR="009E70A6">
        <w:rPr>
          <w:rFonts w:cs="Dutch801HdEU"/>
          <w:color w:val="000000"/>
          <w:sz w:val="20"/>
          <w:szCs w:val="20"/>
        </w:rPr>
        <w:t xml:space="preserve">iczb wymiernych o </w:t>
      </w:r>
      <w:r w:rsidRPr="00124FE9">
        <w:rPr>
          <w:rFonts w:cs="Dutch801HdEU"/>
          <w:color w:val="000000"/>
          <w:sz w:val="20"/>
          <w:szCs w:val="20"/>
        </w:rPr>
        <w:t>wykładniku naturalnym oraz pierwiastki arytmetyczne drugiego stopnia i</w:t>
      </w:r>
      <w:r w:rsidR="009E70A6">
        <w:rPr>
          <w:rFonts w:cs="Dutch801HdEU"/>
          <w:color w:val="000000"/>
          <w:sz w:val="20"/>
          <w:szCs w:val="20"/>
        </w:rPr>
        <w:t xml:space="preserve"> </w:t>
      </w:r>
      <w:r w:rsidRPr="00124FE9">
        <w:rPr>
          <w:rFonts w:cs="Dutch801HdEU"/>
          <w:color w:val="000000"/>
          <w:sz w:val="20"/>
          <w:szCs w:val="20"/>
        </w:rPr>
        <w:t>pier</w:t>
      </w:r>
      <w:r w:rsidR="009E70A6">
        <w:rPr>
          <w:rFonts w:cs="Dutch801HdEU"/>
          <w:color w:val="000000"/>
          <w:sz w:val="20"/>
          <w:szCs w:val="20"/>
        </w:rPr>
        <w:t xml:space="preserve">wiastki trzeciego stopnia z </w:t>
      </w:r>
      <w:r w:rsidRPr="00124FE9">
        <w:rPr>
          <w:rFonts w:cs="Dutch801HdEU"/>
          <w:color w:val="000000"/>
          <w:sz w:val="20"/>
          <w:szCs w:val="20"/>
        </w:rPr>
        <w:t>liczby wymiernej, posługując się również kalkulatorem;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budować i </w:t>
      </w:r>
      <w:r w:rsidRPr="00124FE9">
        <w:rPr>
          <w:rFonts w:cs="Dutch801HdEU"/>
          <w:color w:val="000000"/>
          <w:sz w:val="20"/>
          <w:szCs w:val="20"/>
        </w:rPr>
        <w:t>nazywać wyrażenia algebraiczne oraz obliczać wartości liczbowe tych wyrażeń;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dodawać sumy algebraiczne, redukować wyrazy podobne;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rozwiązywać równania i </w:t>
      </w:r>
      <w:r w:rsidRPr="00124FE9">
        <w:rPr>
          <w:rFonts w:cs="Dutch801HdEU"/>
          <w:color w:val="000000"/>
          <w:sz w:val="20"/>
          <w:szCs w:val="20"/>
        </w:rPr>
        <w:t>n</w:t>
      </w:r>
      <w:r w:rsidR="009E70A6">
        <w:rPr>
          <w:rFonts w:cs="Dutch801HdEU"/>
          <w:color w:val="000000"/>
          <w:sz w:val="20"/>
          <w:szCs w:val="20"/>
        </w:rPr>
        <w:t xml:space="preserve">ierówności pierwszego stopnia z </w:t>
      </w:r>
      <w:r w:rsidRPr="00124FE9">
        <w:rPr>
          <w:rFonts w:cs="Dutch801HdEU"/>
          <w:color w:val="000000"/>
          <w:sz w:val="20"/>
          <w:szCs w:val="20"/>
        </w:rPr>
        <w:t>j</w:t>
      </w:r>
      <w:r w:rsidR="009E70A6">
        <w:rPr>
          <w:rFonts w:cs="Dutch801HdEU"/>
          <w:color w:val="000000"/>
          <w:sz w:val="20"/>
          <w:szCs w:val="20"/>
        </w:rPr>
        <w:t xml:space="preserve">edną niewiadomą oraz równania w </w:t>
      </w:r>
      <w:r w:rsidRPr="00124FE9">
        <w:rPr>
          <w:rFonts w:cs="Dutch801HdEU"/>
          <w:color w:val="000000"/>
          <w:sz w:val="20"/>
          <w:szCs w:val="20"/>
        </w:rPr>
        <w:t>postaci proporcji;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stosować równania do </w:t>
      </w:r>
      <w:r w:rsidRPr="00124FE9">
        <w:rPr>
          <w:rFonts w:cs="Dutch801HdEU"/>
          <w:color w:val="000000"/>
          <w:sz w:val="20"/>
          <w:szCs w:val="20"/>
        </w:rPr>
        <w:t>r</w:t>
      </w:r>
      <w:r w:rsidR="009E70A6">
        <w:rPr>
          <w:rFonts w:cs="Dutch801HdEU"/>
          <w:color w:val="000000"/>
          <w:sz w:val="20"/>
          <w:szCs w:val="20"/>
        </w:rPr>
        <w:t xml:space="preserve">ozwiązywania zadań tekstowych o tematyce z </w:t>
      </w:r>
      <w:r w:rsidRPr="00124FE9">
        <w:rPr>
          <w:rFonts w:cs="Dutch801HdEU"/>
          <w:color w:val="000000"/>
          <w:sz w:val="20"/>
          <w:szCs w:val="20"/>
        </w:rPr>
        <w:t>różnych dziedzi</w:t>
      </w:r>
      <w:r w:rsidR="009E70A6">
        <w:rPr>
          <w:rFonts w:cs="Dutch801HdEU"/>
          <w:color w:val="000000"/>
          <w:sz w:val="20"/>
          <w:szCs w:val="20"/>
        </w:rPr>
        <w:t xml:space="preserve">n wiedzy i </w:t>
      </w:r>
      <w:r w:rsidRPr="00124FE9">
        <w:rPr>
          <w:rFonts w:cs="Dutch801HdEU"/>
          <w:color w:val="000000"/>
          <w:sz w:val="20"/>
          <w:szCs w:val="20"/>
        </w:rPr>
        <w:t>życia codziennego;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="009E70A6">
        <w:rPr>
          <w:rFonts w:cs="Dutch801HdEU"/>
          <w:color w:val="000000"/>
          <w:sz w:val="20"/>
          <w:szCs w:val="20"/>
        </w:rPr>
        <w:t xml:space="preserve">odczytywać tabele, diagramy i </w:t>
      </w:r>
      <w:r w:rsidRPr="00124FE9">
        <w:rPr>
          <w:rFonts w:cs="Dutch801HdEU"/>
          <w:color w:val="000000"/>
          <w:sz w:val="20"/>
          <w:szCs w:val="20"/>
        </w:rPr>
        <w:t>niektóre wykresy statystyczne;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ro</w:t>
      </w:r>
      <w:r w:rsidR="009E70A6">
        <w:rPr>
          <w:rFonts w:cs="Dutch801HdEU"/>
          <w:color w:val="000000"/>
          <w:sz w:val="20"/>
          <w:szCs w:val="20"/>
        </w:rPr>
        <w:t xml:space="preserve">zpoznawać figury przystające, w </w:t>
      </w:r>
      <w:r w:rsidRPr="00124FE9">
        <w:rPr>
          <w:rFonts w:cs="Dutch801HdEU"/>
          <w:color w:val="000000"/>
          <w:sz w:val="20"/>
          <w:szCs w:val="20"/>
        </w:rPr>
        <w:t>szczególności trójkąty przystające;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wyróżniać w</w:t>
      </w:r>
      <w:r w:rsidR="009E70A6">
        <w:rPr>
          <w:rFonts w:cs="Dutch801HdEU"/>
          <w:color w:val="000000"/>
          <w:sz w:val="20"/>
          <w:szCs w:val="20"/>
        </w:rPr>
        <w:t xml:space="preserve"> twierdzeniu założenie i </w:t>
      </w:r>
      <w:r w:rsidRPr="00124FE9">
        <w:rPr>
          <w:rFonts w:cs="Dutch801HdEU"/>
          <w:color w:val="000000"/>
          <w:sz w:val="20"/>
          <w:szCs w:val="20"/>
        </w:rPr>
        <w:t>tezę;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stosować twierdzenie Pitagorasa do obliczania długości boku trójkąta prostokątnego, gdy dane są długości dwóch pozostałych boków tego trójkąta;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obliczać pola po</w:t>
      </w:r>
      <w:r w:rsidR="009E70A6">
        <w:rPr>
          <w:rFonts w:cs="Dutch801HdEU"/>
          <w:color w:val="000000"/>
          <w:sz w:val="20"/>
          <w:szCs w:val="20"/>
        </w:rPr>
        <w:t xml:space="preserve">znanych wielokątów, pole koła i </w:t>
      </w:r>
      <w:r w:rsidRPr="00124FE9">
        <w:rPr>
          <w:rFonts w:cs="Dutch801HdEU"/>
          <w:color w:val="000000"/>
          <w:sz w:val="20"/>
          <w:szCs w:val="20"/>
        </w:rPr>
        <w:t xml:space="preserve">długość okręgu; 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rozpoznawać graniastosłupy proste;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wykonywać rysunki graniastosłupów prostych;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proje</w:t>
      </w:r>
      <w:r w:rsidR="009E70A6">
        <w:rPr>
          <w:rFonts w:cs="Dutch801HdEU"/>
          <w:color w:val="000000"/>
          <w:sz w:val="20"/>
          <w:szCs w:val="20"/>
        </w:rPr>
        <w:t xml:space="preserve">ktować i </w:t>
      </w:r>
      <w:r w:rsidRPr="00124FE9">
        <w:rPr>
          <w:rFonts w:cs="Dutch801HdEU"/>
          <w:color w:val="000000"/>
          <w:sz w:val="20"/>
          <w:szCs w:val="20"/>
        </w:rPr>
        <w:t>sporządzać siatki graniastosłupów prostych;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obliczać pola powierzchni graniastosłupów prostych;</w:t>
      </w:r>
    </w:p>
    <w:p w:rsidR="00124FE9" w:rsidRPr="00124FE9" w:rsidRDefault="00124FE9" w:rsidP="00124FE9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AgendaPl Bold"/>
          <w:b/>
          <w:bCs/>
          <w:color w:val="024DA1"/>
          <w:sz w:val="20"/>
          <w:szCs w:val="20"/>
        </w:rPr>
        <w:t>•</w:t>
      </w:r>
      <w:r w:rsidRPr="00124FE9">
        <w:rPr>
          <w:rFonts w:cs="AgendaPl Bold"/>
          <w:b/>
          <w:bCs/>
          <w:color w:val="024DA1"/>
          <w:sz w:val="20"/>
          <w:szCs w:val="20"/>
        </w:rPr>
        <w:tab/>
      </w:r>
      <w:r w:rsidRPr="00124FE9">
        <w:rPr>
          <w:rFonts w:cs="Dutch801HdEU"/>
          <w:color w:val="000000"/>
          <w:sz w:val="20"/>
          <w:szCs w:val="20"/>
        </w:rPr>
        <w:t>obliczać objętości graniastosłupów prostych.</w:t>
      </w:r>
    </w:p>
    <w:p w:rsidR="00124FE9" w:rsidRPr="00124FE9" w:rsidRDefault="00124FE9" w:rsidP="00124FE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124FE9" w:rsidRPr="00124FE9" w:rsidRDefault="00124FE9" w:rsidP="00124FE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124FE9">
        <w:rPr>
          <w:rFonts w:cs="Dutch801HdEU"/>
          <w:color w:val="000000"/>
          <w:sz w:val="20"/>
          <w:szCs w:val="20"/>
        </w:rPr>
        <w:t>Pragniemy raz jeszcze podkreślić, że niż</w:t>
      </w:r>
      <w:r w:rsidR="009E70A6">
        <w:rPr>
          <w:rFonts w:cs="Dutch801HdEU"/>
          <w:color w:val="000000"/>
          <w:sz w:val="20"/>
          <w:szCs w:val="20"/>
        </w:rPr>
        <w:t xml:space="preserve">ej zamieszczony plan wynikowy z </w:t>
      </w:r>
      <w:r w:rsidRPr="00124FE9">
        <w:rPr>
          <w:rFonts w:cs="Dutch801HdEU"/>
          <w:color w:val="000000"/>
          <w:sz w:val="20"/>
          <w:szCs w:val="20"/>
        </w:rPr>
        <w:t>rozkładem materiału nauczania jest tylko naszą propozycją. Na jego podstawie nauczyciel może opracować</w:t>
      </w:r>
      <w:r w:rsidR="009E70A6">
        <w:rPr>
          <w:rFonts w:cs="Dutch801HdEU"/>
          <w:color w:val="000000"/>
          <w:sz w:val="20"/>
          <w:szCs w:val="20"/>
        </w:rPr>
        <w:t xml:space="preserve"> własny plan, który powinien na </w:t>
      </w:r>
      <w:r w:rsidRPr="00124FE9">
        <w:rPr>
          <w:rFonts w:cs="Dutch801HdEU"/>
          <w:color w:val="000000"/>
          <w:sz w:val="20"/>
          <w:szCs w:val="20"/>
        </w:rPr>
        <w:t xml:space="preserve">bieżąco korygować. </w:t>
      </w:r>
    </w:p>
    <w:p w:rsidR="00124FE9" w:rsidRDefault="00124FE9" w:rsidP="00124FE9">
      <w:pPr>
        <w:rPr>
          <w:rFonts w:cs="AgendaPl Bold"/>
          <w:b/>
          <w:bCs/>
          <w:caps/>
          <w:color w:val="6D6E70"/>
          <w:sz w:val="32"/>
          <w:szCs w:val="32"/>
        </w:rPr>
      </w:pPr>
      <w:r>
        <w:rPr>
          <w:rFonts w:cs="AgendaPl Bold"/>
          <w:b/>
          <w:bCs/>
          <w:caps/>
          <w:color w:val="6D6E70"/>
          <w:sz w:val="32"/>
          <w:szCs w:val="32"/>
        </w:rPr>
        <w:br w:type="page"/>
      </w:r>
    </w:p>
    <w:p w:rsidR="00124FE9" w:rsidRPr="00124FE9" w:rsidRDefault="00124FE9" w:rsidP="00124FE9">
      <w:pPr>
        <w:keepNext/>
        <w:autoSpaceDE w:val="0"/>
        <w:autoSpaceDN w:val="0"/>
        <w:adjustRightInd w:val="0"/>
        <w:spacing w:before="57" w:after="170" w:line="340" w:lineRule="atLeast"/>
        <w:textAlignment w:val="center"/>
        <w:rPr>
          <w:rFonts w:cs="AgendaPl Bold"/>
          <w:b/>
          <w:bCs/>
          <w:caps/>
          <w:color w:val="6D6E70"/>
          <w:sz w:val="32"/>
          <w:szCs w:val="32"/>
        </w:rPr>
      </w:pPr>
      <w:r w:rsidRPr="00124FE9">
        <w:rPr>
          <w:rFonts w:cs="AgendaPl Bold"/>
          <w:b/>
          <w:bCs/>
          <w:caps/>
          <w:color w:val="6D6E70"/>
          <w:sz w:val="32"/>
          <w:szCs w:val="32"/>
        </w:rPr>
        <w:lastRenderedPageBreak/>
        <w:t>Klasa 2</w:t>
      </w:r>
      <w:r w:rsidRPr="00124FE9">
        <w:rPr>
          <w:rFonts w:cs="AgendaPl Bold"/>
          <w:b/>
          <w:bCs/>
          <w:caps/>
          <w:color w:val="6D6E70"/>
          <w:sz w:val="32"/>
          <w:szCs w:val="32"/>
        </w:rPr>
        <w:t> </w:t>
      </w:r>
      <w:r w:rsidRPr="00124FE9">
        <w:rPr>
          <w:rFonts w:cs="AgendaPl Bold"/>
          <w:b/>
          <w:bCs/>
          <w:caps/>
          <w:color w:val="6D6E70"/>
          <w:sz w:val="32"/>
          <w:szCs w:val="32"/>
        </w:rPr>
        <w:t>Razem 128 godz.</w:t>
      </w:r>
      <w:r w:rsidR="00102CE3">
        <w:rPr>
          <w:rFonts w:cs="AgendaPl Bold"/>
          <w:b/>
          <w:bCs/>
          <w:caps/>
          <w:color w:val="6D6E70"/>
          <w:sz w:val="32"/>
          <w:szCs w:val="32"/>
        </w:rPr>
        <w:t xml:space="preserve"> +</w:t>
      </w:r>
      <w:r w:rsidR="003767A0">
        <w:rPr>
          <w:rFonts w:cs="AgendaPl Bold"/>
          <w:b/>
          <w:bCs/>
          <w:caps/>
          <w:color w:val="6D6E70"/>
          <w:sz w:val="32"/>
          <w:szCs w:val="32"/>
        </w:rPr>
        <w:t xml:space="preserve"> </w:t>
      </w:r>
      <w:r w:rsidRPr="00124FE9">
        <w:rPr>
          <w:rFonts w:cs="AgendaPl Bold"/>
          <w:b/>
          <w:bCs/>
          <w:caps/>
          <w:color w:val="6D6E70"/>
          <w:sz w:val="32"/>
          <w:szCs w:val="32"/>
        </w:rPr>
        <w:t>16 godz. do dyspozycji nauczyciela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794"/>
        <w:gridCol w:w="2948"/>
        <w:gridCol w:w="2948"/>
      </w:tblGrid>
      <w:tr w:rsidR="00124FE9" w:rsidRPr="00124FE9" w:rsidTr="00124FE9">
        <w:trPr>
          <w:trHeight w:val="57"/>
          <w:tblHeader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Dział </w:t>
            </w: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br/>
              <w:t>programu</w:t>
            </w:r>
          </w:p>
        </w:tc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Temat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</w:t>
            </w: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br/>
              <w:t>godzin</w:t>
            </w:r>
          </w:p>
        </w:tc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nauczyciela</w:t>
            </w:r>
          </w:p>
        </w:tc>
      </w:tr>
      <w:tr w:rsidR="00124FE9" w:rsidRPr="00124FE9" w:rsidTr="00124FE9">
        <w:trPr>
          <w:trHeight w:val="57"/>
          <w:tblHeader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24408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24408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PP</w:t>
            </w:r>
          </w:p>
        </w:tc>
      </w:tr>
      <w:tr w:rsidR="00124FE9" w:rsidRPr="00124FE9" w:rsidTr="00124FE9">
        <w:trPr>
          <w:trHeight w:val="57"/>
          <w:tblHeader/>
        </w:trPr>
        <w:tc>
          <w:tcPr>
            <w:tcW w:w="1134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24408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124FE9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Liczby i działania – 24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Liczby naturalne w systemie rzymskim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i zapisuje liczby naturalne dodatnie w systemie rzymskim (w zakresie do 3000)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w systemie dziesiąt</w:t>
            </w:r>
            <w:r w:rsidR="007D17B0">
              <w:rPr>
                <w:rFonts w:cs="AgendaPl RegularCondensed"/>
                <w:color w:val="000000"/>
                <w:sz w:val="20"/>
                <w:szCs w:val="20"/>
              </w:rPr>
              <w:t xml:space="preserve">kowym liczby, zapisane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w systemie rzymskim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liczby w systemie rzymskim do rozwiązywania problemów w kontekście praktycznym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Wartość bezwzględna liczby wymiernej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bezwzględną liczby wymiernej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złożonego wyrażenia arytmetycznego, zawierającego wartości bezwzględne z liczb wymiernych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Potęga o wykładniku naturalnym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podstawę i wykładnik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potęgi liczby wymiernej o wykładniku naturalnym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iloczyn tych samych czynników za pomocą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porównuje wartości potęg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dwuargumentowego wyrażenia arytmetycznego, zawierającego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kalkulator do potęgowania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tekstowe z zastosowaniem potęg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 definicję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złożonego wyrażenia arytmetycznego, zawierającego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szacuje wartość 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tekstowe z zastosowaniem potęg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4. Mnożenie i dzielenie potęg o tej samej podstawie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wskazuje potęgi o tej samej podstawie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mnoży lub dzieli potęgi o tej samej podstawie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potęgę w postaci iloczynu lub ilorazu potęg o tej samej podstawie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za pomocą symboli literowych mnożenie i dzielenie potęg o tych samych podstawach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mnożenie i dzielenie potęg o tej samej podstawie w wyrażeniach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mnożenia i dzielenia potęg o tej samej podstawie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Potęga iloczynu, ilorazu i potęgi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potęgę w postaci iloczynu potęg i odwrotnie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potęguje iloczyn liczb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iloraz potęg w postaci potęgi ilorazu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prostego wyrażenia, stosując poznane twierdzenia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za pomocą symboli literowych potęgowanie iloczynu, ilorazu i 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porządkuje zbiór wyrażeń, zawierających potęgi iloczynu, ilorazu i 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porównuje wartości wyrażeń, zawierających potęgi iloczynu, ilorazu i potęgi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zadania z zastosowaniem wszystkich twierdzeń, dotyczących potęgowania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6. Notacja wykładnicza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notację wykładniczą do przedstawiania bardzo dużych liczb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wyraża za pomocą notacji wykładniczej podstawowe jednostki długości i inne wielkości, np. powierzchnie, odległości, masy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notacji wykładniczej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02CE3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7. Pierwiastek kwa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dratowy i sześcienny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 pamięci wartości pierwiastków kwadratowych i sześciennych, które są liczbami wymiernymi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oblicza wartości prostych wyrażeń zawierających pierwiastki kwadratowe i sześcienne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kalkulator do obliczenia wartości pierwiastka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oblicza wartości złożonych wyrażeń, zawierających pierwiastki kwadratowe i sześcienne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problemy, np. określa, dla jakich wartości wyrażenie podpierwiastkowe ma sens liczbowy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02CE3" w:rsidP="00102CE3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8. Pierwiastek z ilo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czynu, iloczyn pierwiastków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wzory literowe do konkretnych danych liczbowych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twierdzenia o pierwiastku z iloczynu i iloczynie pierwiastków w prostych wyrażeniach arytmetycznych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pierwiastkuje drugą i trzecią potęgę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zapisuje symbolami twierdzenie o pierwiastku z iloczynu i iloczynie pierwiastków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pierwiastek z iloczynu i iloczyn pierwiastków do obliczania wartości złożonych wyrażeń algebraicznych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pierwiastkuje kwadrat i sześcian zmiennej lub wyrażenia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9. Wyłączanie czynnika przed pierwiastek, włączanie czynnika pod pierwiastek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wyłącza czynnik przed znak pierwiastka – proste przypadki</w:t>
            </w:r>
          </w:p>
          <w:p w:rsidR="00124FE9" w:rsidRPr="00124FE9" w:rsidRDefault="00124FE9" w:rsidP="00604FCD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włącza czynnik pod znak pierwiastka – proste przypadki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przekształca wyrażenia, włączając czynnik pod znak pierwiastka lub wyłączając czynnik przed znak pierwiastka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problemy, np. rozwiązuje równania, w których należy zastosować włączanie czynnika pod znak pierwiastka lub wyłączanie czynnika przed znak pierwiastka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02CE3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10. Pierwiastek z ilo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razu, iloraz 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pierwiastków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wzory literowe do danych liczbowych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prostego wyrażenia arytmetycznego z zastosowaniem poznanych twierdzeń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usuwa niewymierność z mianownika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wartość złożonego wyrażenia arytmetycznego z zastosowaniem poznanych twierdzeń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zadania problemowe, np. uzasadnia prawdziwość zależności, z wykorzystaniem poznanych twierdzeń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11. Szacowanie wartości wyrażeń, zawierających pierwiastki*</w:t>
            </w:r>
            <w:r w:rsidRPr="00124FE9">
              <w:rPr>
                <w:rFonts w:cs="Cambria Math"/>
                <w:color w:val="000000"/>
                <w:sz w:val="20"/>
                <w:szCs w:val="20"/>
              </w:rPr>
              <w:t>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 przybliżoną wartość liczby, przedstawionej za pomocą pierwiastka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liczbę najmniejszą i największą w zbiorze liczb zawierających pierwiastki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oszacowuje bez użycia kalkulatora wartości wyrażeń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porównuje wartości wyrażeń, zawierających pierwiastki, przez ich oszacowanie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12. Powtórzenie i utrwalenie wiadomości oraz umiejętności dot. potęg i pierwiastków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typowych zadaniach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złożonych zadaniach, problemach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13. Praca klasowa 1: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 i działania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</w:t>
            </w:r>
            <w:r w:rsidR="00374F4C">
              <w:rPr>
                <w:rFonts w:cs="AgendaPl RegularCondensed"/>
                <w:color w:val="000000"/>
                <w:sz w:val="20"/>
                <w:szCs w:val="20"/>
              </w:rPr>
              <w:t>zielnie rozwiązuje zadania z po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rozwiązuje zadania z poziomu P (co 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="00374F4C">
              <w:rPr>
                <w:rFonts w:cs="AgendaPl RegularCondensed"/>
                <w:color w:val="000000"/>
                <w:sz w:val="20"/>
                <w:szCs w:val="20"/>
              </w:rPr>
              <w:t xml:space="preserve">) i PP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14.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Własności figur płaskich – 19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Symetralna odcinka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dzieli konstrukcyjnie odcinek na parzystą liczbę części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z zastosowaniem własności symetralnej odcinka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opisuje konstrukcję symetralnej odcinka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symetralnej odcinka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Dwusieczna kąta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dwusieczną kąta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 odległości punktów, należących do dwusiecznej kąta, od jego ramion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dzieli konstrukcyjnie kąt na parzystą liczbę części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z zastosowaniem własności dwusiecznej kąta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opisuje konstrukcję dwusiecznej kąta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dwusiecznej kąta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Kąt środkowy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rysunku kąty środkowe oraz łuki, na których są one oparte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rysuje kąt środkowy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definiuje kąt środkowy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4. Wzajemne położenie prostej i okręgu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 wzajemne położenie prostej i okręgu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rysunku styczne do okręgu i sieczne okręgu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styczną do okręgu i sieczną okręgu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wymienia własności stycznej do okręgu i siecznej na podstawie danego rysunku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konstruuje styczne do okręgu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danych odległości określa wzajemne położenie okręgu i prostej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 położenie środków okręgów stycznych do ramion kąta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stycznej do okręgu oraz siecznej okręgu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Okrąg opisany na trójkącie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rysunku okrąg opisany na trójkącie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opisuje okrąg na trójkącie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z zastosowaniem własności okręgu opisanego na trójkącie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konstruuje okrąg opisany na trójkącie i opisuje tę konstrukcję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okręgu opisanego na trójkącie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6. Okrąg wpisany w trójkąt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rysunku okrąg wpisany w trójkąt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wpisuje okrąg w trójkąt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z zastosowaniem własności okręgu wpisanego w trójkąt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konstruuje okrąg wpisany w trójkąt i opisuje tę konstrukcję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własności okręgu wpisanego w trójkąt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7. Pole pierścienia i wycinka kołowego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pole pierścienia kołowego, jako różnicę pól odpowiednich kół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pole wycinka kołowego, jako część pola odpowiedniego koła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zadania, dotyczące obliczania pola pierścienia i wycinka kołowego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8. Wielokąty foremne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374F4C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rozróżnia i nazywa wielo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kąty foremne</w:t>
            </w:r>
          </w:p>
          <w:p w:rsidR="00124FE9" w:rsidRPr="00124FE9" w:rsidRDefault="00374F4C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stosuje zależność między wy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sokością trójkąta równobocznego a promieniami okręgu wpi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sanego i okręgu opisa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nego na tym trójkącie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wyprowadza wzór na wysokość trójkąta równobocznego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uzasadnia zależność między promieniami okręgu wpisanego i okręgu opisanego na trójkącie równobocznym, a wysokością tego trójkąta</w:t>
            </w:r>
          </w:p>
          <w:p w:rsidR="00124FE9" w:rsidRPr="00124FE9" w:rsidRDefault="00124FE9" w:rsidP="00604FCD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promień koła wpisanego w kwadrat (opisanego na kwadracie, prostokącie)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9. Powtórzenie i utrwalenie wiadomości oraz umiejętności dot. własności figur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płaskich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typowych zadaniach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złożonych zadaniach, problemach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10. Praca klasowa 2: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Własności figur płaskich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</w:t>
            </w:r>
            <w:r w:rsidR="00604FCD">
              <w:rPr>
                <w:rFonts w:cs="AgendaPl RegularCondensed"/>
                <w:color w:val="000000"/>
                <w:sz w:val="20"/>
                <w:szCs w:val="20"/>
              </w:rPr>
              <w:t>zielnie rozwiązuje zadania z po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rozwiązuje zadania z poziomu P (co 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11.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Rachunek algebraiczny – 12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Wyrażenia algebraiczne i ich wartości liczbowe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wyrażenia algebraiczne w różnych wzorach, zwrotach matematycznych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zapisuje przykłady wyrażeń algebraicznych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nazywa i buduje proste wyrażenia algebraiczne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wartości liczbowe pro</w:t>
            </w:r>
            <w:r w:rsidR="00374F4C">
              <w:rPr>
                <w:rFonts w:cs="AgendaPl RegularCondensed"/>
                <w:color w:val="000000"/>
                <w:sz w:val="20"/>
                <w:szCs w:val="20"/>
              </w:rPr>
              <w:t>stych wyra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żeń algebraicznych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nazywa i buduje złożone wyrażenia algebraiczne</w:t>
            </w:r>
          </w:p>
          <w:p w:rsidR="00124FE9" w:rsidRPr="00124FE9" w:rsidRDefault="00124FE9" w:rsidP="003767A0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wartości liczbowe złożonych wyrażeń algebraicznych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2. Dodawanie i odej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mowanie wyrażeń algebraicznych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rozróżnia w wyrażeniach algebraicznych sumy algebraiczne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wyróżnia w wyrażeniach algebraicznych wyrazy podobne i przeprowadza ich redukcję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dodaje i odejmuje sumy algebraiczne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dodaje i odejmuje złożone wyrażenia algebraiczne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3. Mnożenie sumy algebra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icznej przez jednomian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związek między pra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wem roz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dzielno</w:t>
            </w:r>
            <w:r w:rsidR="00555E4D">
              <w:rPr>
                <w:rFonts w:cs="AgendaPl RegularCondensed"/>
                <w:color w:val="000000"/>
                <w:sz w:val="20"/>
                <w:szCs w:val="20"/>
              </w:rPr>
              <w:t xml:space="preserve">ści mnożenia względem dodawania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a mnożeniem sumy przez jednomian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mnoży sumę algebraiczną przez jednomian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przekształca złożone wyrażenia algebraiczne z zastosowaniem mnożenia sumy przez jednomian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4. Wyłączanie wspólnego czynnika przed nawias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wspólny czynnik wyrazów sumy algebraicznej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prawo rozdzielności mnożenia względ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em dodawania do wyłączania licz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by przed nawias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wyłącza przed nawias wspólny czynnik wyrazów sumy algebraicznej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wyłącza przed nawias największy wspólny czynnik wyrazów sumy algebraicznej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przekształca złożone wyrażenia algebraiczne z zastosowaniem wyłączania wspólnego czynnika przed nawias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Mnożenie sum algebraicznych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mnoży dwie sumy algebraiczne 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  <w:t>– proste przypadki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mnoży sumy algebraiczne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6. Powtórzenie i utrwa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lenie wiadomości oraz umiejętności dot. rachunku algebraicznego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typowych zadaniach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złożonych zadaniach, problemach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7. Praca klasowa 3: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Rachunek algebraiczn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lnie rozwiązuje zadania z po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604FCD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rozwiązuje zadania z poziomu P (co 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 w:rsidR="00604FC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8.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samodzielnie poprawia popełnione błędy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Równania, układy równań – 20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1. Równania pierwszego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stopnia z jed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ną niewiadomą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sprawdza, czy dana liczba jest rozwiązaniem równania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równania równoważne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przekształca równanie do postaci równoważnej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rozwiązuje proste równania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układa równanie do sytuacji przedstawionej graficznie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niewiadomą liczbę z równania, mając jego pierwiastek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równania o współczynnikach ułamkowych, zawierające potęgi i pierwiastki, o dużym stopniu trudności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liczbę rozwiązań dane</w:t>
            </w:r>
            <w:r w:rsidR="00555E4D">
              <w:rPr>
                <w:rFonts w:cs="AgendaPl RegularCondensed"/>
                <w:color w:val="000000"/>
                <w:sz w:val="20"/>
                <w:szCs w:val="20"/>
              </w:rPr>
              <w:t>go rów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nania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Przekształcanie wzorów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przekształca wzory, stosując twierdzenia o równaniach równoważnych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wyznacza wskazaną niewiadomą z prostych równań (wzorów) matematycznych, fizycznych i chemicznych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wskazaną zmienną ze wszystkich wzorów, używanych na lekcjach matematyki, fizyki, chemii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Zastosowanie równań w rozwiązywaniu zadań tekstowych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przeprowadza analizę treści zadania z pomocą nauczyciela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układa równania do typowych sytuacji praktycznych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sprawdza poprawność rozwiązania z warunkami zadania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formułuje odpowiedź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analizuje zadanie o podwyższonym stopniu trudności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układa plan rozwiązania oraz równanie, prowadzące do rozwiązania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równanie i sprawdza rozwiązanie z warunkami zadania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przewiduje wynik i porównuje go z wynikiem otrzymanym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udziela poprawnej i wyczerpującej odpowiedzi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używa różnych metod rozwiązywania zadań tekstowych, rów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nież arytmetycznych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4. Wielkości wprost i odwrotnie proporcjonalne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rozróżnia wielkości wprost i odwrotnie proporcjonalne na podstawie tabelek i opisu słownego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tekstowe z wykorzystaniem własności proporcji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współczynnik proporcjonalności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tekstowe o wielkościach proporcjonalnych z wykorzystaniem m.in. wzorów fizycznych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Układy równań pierwszego stopnia z dwiema niewiadomymi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przykłady równań pierwszego stopnia z dwiema niewiadomymi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sprawdza, czy dana para liczb spełnia równanie pierwszego stopnia z dwiema niewiadomymi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zapisuje zależności opisane słownie w postaci równania pierwszego stopnia z dwiema niewiadomymi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przykłady układu rozwiązań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sprawdza, czy dana para liczb spełnia układ równań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przykład układu równań mając daną parę liczb spełniającą ten układ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próbuje znaleźć rozwiązanie układu równań metodą prób i błędów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6. Rozwiązywanie układów równań pierwszego stopnia z dwiema niewiadomymi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układy równań metodą podstawiania i przeciwnych współczynników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 zbiór rozwiązań układu równań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układy równań, wymagające przekształceń i zawierające współczynniki ułamkowe, dowolną metodą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7. Zastosowanie układów równań w rozwiązywaniu zadań tekstowych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 tekstowe z wykorzystaniem układów równań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tekstowe z wykorzystaniem układów równań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układa treść zadania do podanego układu równań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8. Powtórzenie i utrwalenie wiadomości oraz umiejętności dot. równań, układów równań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typowych zadaniach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złożonych zadaniach, problemach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9. Praca klasowa 4: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Równania, układy równań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</w:t>
            </w:r>
            <w:r w:rsidR="00604FCD">
              <w:rPr>
                <w:rFonts w:cs="AgendaPl RegularCondensed"/>
                <w:color w:val="000000"/>
                <w:sz w:val="20"/>
                <w:szCs w:val="20"/>
              </w:rPr>
              <w:t>je samodzielnie zadania z pozio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mu P (co 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10. Omówienie wyników i poprawa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Symetrie – 14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Symetria osiowa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własności figur przystających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rozpoznaje figury symetryczne względem prostej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figury symetryczne względem prostej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figury symetryczne względem osi układu współrzędnych – proste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określa, względem której osi układu ws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półrzędnych dane punkty są syme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tryczne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e współrzędne punktów symetrycz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nych względem osi układu współrzędnych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prostą, względem której dwie figury są symetryczne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w zadaniach własności figur symetrycznych względem prostej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figury symetryczne względem osi układu współrzędnych – trudniejsze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niewiadome wykorzystując zależności zachodzące między współ­rzędnymi punktów symetrycznych względem osi układu współrzędnych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Figury osiowosymetryczne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wykazuje czynnościowo, że dany model kartonowy figury jest osiowosymetryczny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rozpoznaje figury, mające oś (osie) symetrii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nazywa i wskazuje liczbę osi symetrii określonej figury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wykonuje projekt, np. </w:t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Figury osiowosymetryczne w architekturze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Symetria środkowa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przykłady figur symetrycznych względem punktu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 własności figur symetrycznych względem punktu na podstawie rysunku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figury symetryczne do danych względem punktu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równoległość odcinków symetrycznych względem punktu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punkt symetryczny do danego względem początku układu współrzędnych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współrzędne punktów symetrycznych względem po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czątku układu współ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rzędnych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uzasadnia, że przedstawione na rysunku figury są symetryczne względem punktu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wymienia własności figur symetrycznych względem punktu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punkt, względem którego dwie figury są symetryczne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związek między symetrią środkową a obrotem o kąt 180°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figury symetryczne względem początku układu współrzędnych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niewiadome wykorzystując zależności zachodzące między współrzędnymi punktów symetrycznych względem początku układu współrzędnych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4. Figury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  <w:t>środkowosymetryczne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wyróżnia figury środkowosymetryczne ze zbioru danych modeli figur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podaje przykłady figur mających środek symetrii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określa, czy dana figura ma środek symetrii (jeżeli nie ma, to uzasadnia dlaczego)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 xml:space="preserve"> w zadaniach własności figur sy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metrycznych względem punktu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Powtórzenie i utrwalenie wiadomości oraz umiejętności dot. symetrii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typowych zadaniach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złożonych zadaniach, problemach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6. Praca klasowa 5: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Symetrie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604FCD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604FCD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 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7.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Funkcje – 12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Pojęcie funkcji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w najbliższym otoczeniu przykłady różnego rodzaju przyporządkowań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opisuje funkcje różnymi sposobami: słownie, za pomocą grafu, tabelki, wzoru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wyróżnia spośród przyporządkowań te, które są funkcjami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dla danej funkcji: argument, wartość, dziedzinę, zbiór wartości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sporządza tabelkę dla funkcji określonej wzorem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wzór funkcji na podstawie innego jej opisu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z zastosowaniem pojęcia funkcji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Funkcja liczbowa i jej wykres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sporządza wykres funkcji na podstawie jej opisu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podaje inne sposoby opisu funkcji na podstawie jej wykresu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sprawd</w:t>
            </w:r>
            <w:r w:rsidR="00583664">
              <w:rPr>
                <w:rFonts w:cs="AgendaPl RegularCondensed"/>
                <w:color w:val="000000"/>
                <w:sz w:val="20"/>
                <w:szCs w:val="20"/>
              </w:rPr>
              <w:t>za, czy dany punkt należy do wy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kresu funkcji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odczytuje dziedzinę i zbiór wartości funkcji z jej wykresu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uzasadnia, czy dany wykres jest wykresem funkcji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Własności funkcji liczbowej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z wykresu funkcji liczbowej jej własności: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dziedzinę i zbiór wartości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miejsca zerowe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dla jakich argumentów funkcja przyjmuje określone wartości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najmniejszą i największą wartość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współrzędne przecięcia wykresu z osiami układu współrzędnych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34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monotoniczność funkcji (ro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snąca, malejąca, stała)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własności funkcji na podstawie różnych jej opisów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sporządza wykres funkcji na podstawie jej własności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4. Przykłady zależności funkcyjnych występujących w przyrodzie, gospodarce i życiu codziennym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w najbliższym otoczeniu przykłady zależności funkcyjnych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interpretuje zależności funkcyjne występujące w przyrodzie, gospodarce i życiu codziennym, przedstawione za pomocą wykresów – proste przypadki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na wykresie zależności funkcyjne występujące w przyrodzie, gospodarce i życiu codziennym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5. Powtórzenie i utrwa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lenie wiadomości oraz umiejętności dot. funkcji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typowych zadaniach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złożonych zadaniach, problemach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6. Praca klasowa 6: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3767A0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3767A0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 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7.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Graniastosłupy i ostrosłupy – 16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1. Graniastosłupy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rozpoznaje graniastosłupy proste i pochyłe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zuje podstawowe elementy grania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stosłupów (np.</w:t>
            </w:r>
            <w:r w:rsidRPr="00124FE9">
              <w:rPr>
                <w:rFonts w:cs="Cambria Math"/>
                <w:color w:val="000000"/>
                <w:sz w:val="20"/>
                <w:szCs w:val="20"/>
              </w:rPr>
              <w:t> 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krawędzie, wysokość, wysokości ścian bocznych, przekątne)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graniastosłupy prawidłowe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modelu graniasto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słupa krawędzie prosto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padłe, równoległe i skośne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modelu graniastosłupa ściany równoległe, prostopadłe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stosuje w zadaniach wzory na przekątną kwadratu i sześcianu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rysuje rzuty graniastosłupów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tworzy klasyfikację graniastosłupów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proste i płaszczyzny uwzględniając ich wzajemne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łożenie w przestrze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wyprowadza wzory na przekątną kwadratu i sześcianu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Przekroje graniastosłupów*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na modelu podstawowe przekroje graniastosłupów prostych i zaznacza je na ich rysunkach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podstawowe przekroje graniastosłupów w rzeczywistych wymiarach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modelu kąt między prostą a jej rzutem prostokątnym na płaszczyznę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wykreśla prostą i jej rzut prostokątny na płaszczyznę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na modelu różne przekroje graniastosłupów prostych i zaznacza je na ich rysunkach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różne przekroje graniastosłupów w rzeczywistych wymiarach i oblicza ich pole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rysuje kąt między prostą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płaszczyzną, zaznacza wskazany kąt na modelu i na jego rysunku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3. Pole powierzchni i objętość graniastosłupa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3767A0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rozwiązuje proste zadania dotyczące obliczania pola powierzchni i objętości graniastosłupów prostych stosując wzory uogólnione oraz twierdzenie Pitagorasa, własności trójkątów równobocznych i prostokątnych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 dotyczące obliczania pola powierzchni i objętości graniastosłupów prostych stosując wzory uogólnione oraz twierdzenie Pitagorasa, własności trójkątów równobocznych i prostokątnych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4. Ostrosłupy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wśród różnych brył wyróżnia ostrosłupy, podaje przykłady takich brył np. w architekturze, otoczeniu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podstawowe elementy ostrosłupów (np. krawędzie, wysokość bryły, wysokości ścian bocznych ostrosłupa, kąt nachylenia ściany bocznej do podstawy ostrosłupa)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nazywa ostrosłupy i rysuje ich rzuty 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ostrosłupy prawidłowe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siatki ostrosłupów prostych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tworzy klasyfikację ostrosłupów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rzuty różnych ostrosłupów oraz ich siatki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5. Przekroje ostrosłupów*</w:t>
            </w:r>
            <w:r w:rsidRPr="00124FE9">
              <w:rPr>
                <w:rFonts w:cs="Cambria Math"/>
                <w:color w:val="000000"/>
                <w:sz w:val="20"/>
                <w:szCs w:val="20"/>
              </w:rPr>
              <w:t>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na modelu podstawowe przekroje ostrosłupów i zaznacza je na rysunkach tych brył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podstawowe przekroje ostrosłupów w rzeczywistych wymiarach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wskazuje na modelu kąt między ścianą a podstawą, kąt między ścianami ostrosłupa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rozpoznaje na rysunku ostrosłupa kąty nachylenia krawędzi do podstawy i kąty nachylenia ścian do podstawy ostrosłupa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wyznacza na modelu różne przekroje ostrosłupów i zaznacza je na rysunkach tych brył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rysuje różne przekroje ostrosłupów w rzeczywistych wymiarach i oblicza ich obwód oraz pole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zaznacza na rysunku ostrosłupa kąty nachylenia krawędzi do podstawy i kąty nachylenia ścian do podstawy ostrosłupa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6. Pole powierzchni ostrosłupa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zadania, dotyczące obliczania pola powierzchni ostrosłupów, stosując wzory uogólnione oraz twierdzenie Pi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tagorasa, własności trójkątów równobocznych i prostokątnych, obliczenia procentowe itp.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zadania, dotyczące obliczania pola powierzchni ostrosłupów, stosując wzory uogólnione oraz twierdze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 Pitagorasa, własności trójkątów równobocznych i prostokątnych, obliczenia procentowe itp.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7. Objętość ostrosłupa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proste zadania, dotyczące obliczania objętości ostrosłupów, stosując wzory uogólnione oraz twierdzenie Pitagorasa, własności trójkątów równobocznych i prostokątnych, obliczenia procentowe itp.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złożone zadania, dotyczące obliczania objętości ostrosłupów, stosując wzory uogólnione oraz twierdzenie Pitagorasa, własności trójkątów równobocznych i prostokątnych, obliczenia procentowe itp.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8. Powtórzenie i utrwa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lenie wiadomości oraz umiejętności dot. graniastosłupów i ostrosłupów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typowych zadaniach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złożonych zadaniach, problemach 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9. Praca klasowa 7: </w:t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Graniastosłupy i ostrosłupy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 samodzielnie zadania z pozio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 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10. Omówienie wyni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000000"/>
                <w:sz w:val="20"/>
                <w:szCs w:val="20"/>
              </w:rPr>
            </w:pPr>
            <w:r w:rsidRPr="00124FE9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Elementy statystyki opisowej –  11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1. Odczytywanie i przedstawianie danych statystycznych za pomocą tabel i diagramów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dane statystyczne przedstawione za pomocą tabel, diagramów słupkowych, prostokątnych, kołowych (w tym procentowych) – proste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dane statystyczne za pomo­cą tabel, diagramów słupkowych, prostokątnych, kołowych (w tym procentowych) – proste przypadki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dane statystyczne przedstawione za pomocą tabel, diagramów słupkowych, prostokątnych, kołowych (w tym procentowych) – trudniejsze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przedstawia dane statystyczne za pomocą tabel, diagramów słupkowych, prostokątnych, kołowych (w tym procentowych) – trudniejsze przypadki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2. Odczytywanie i przedstawianie danych statystycznych za pomocą wykresów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dane sta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tystyczne przedstawione za pomo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cą wykresów (w tym procentowych) – proste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tawia dane statystyczne za pomo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cą wykresów (w tym procentowych) – proste przypadki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odczytuje dane sta</w:t>
            </w:r>
            <w:r w:rsidR="00760FF4">
              <w:rPr>
                <w:rFonts w:cs="AgendaPl RegularCondensed"/>
                <w:color w:val="000000"/>
                <w:sz w:val="20"/>
                <w:szCs w:val="20"/>
              </w:rPr>
              <w:t>tystyczne przedstawione za pomo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cą wykresów (w tym procentowych) – trudniejsze przypadki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przeds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tawia dane statystyczne za pomoc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ą wykresów (w tym procentowych) – trudniejsze przypadki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3. Charakterystyki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liczbowe danych statystycznych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 cechy charakterystyczne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dla danych statystycznych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rozróżnia częstość wartości zmiennej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oblicza średnią arytmetyczną, częstość wartości zmiennej i medianę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oblicza średnią ważoną, rozstęp,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modę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wybiera liczbę, która lepiej opisuje dany zbiór wyników</w:t>
            </w:r>
          </w:p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znajduje te wady diagramów i wykresów, które mogą dezinformować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760FF4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4. Powtórzenie i utrwa</w:t>
            </w:r>
            <w:r w:rsidR="00124FE9" w:rsidRPr="00124FE9">
              <w:rPr>
                <w:rFonts w:cs="AgendaPl RegularCondensed"/>
                <w:color w:val="000000"/>
                <w:sz w:val="20"/>
                <w:szCs w:val="20"/>
              </w:rPr>
              <w:t>lenie wiadomości oraz umiejętności dot. elementów statystyki opisowej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wykorzystuje poznane wiadomości i zdobyte umiejętności w typowych zadaniach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wykorzystuje poznane wiadomości i zdobyte umiejętności w złożonych zadaniach, problemach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 xml:space="preserve">5. Praca klasowa 8: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124FE9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Elementy statystyki opisowej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mu P 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rozwiązuje samodzielnie zadania z poziomu P (co najmniej 85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 i PP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(co najmniej 60</w:t>
            </w:r>
            <w:r w:rsidRPr="00124FE9">
              <w:rPr>
                <w:rFonts w:cs="Times New Roman"/>
                <w:color w:val="000000"/>
                <w:sz w:val="20"/>
                <w:szCs w:val="20"/>
              </w:rPr>
              <w:t>%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124FE9" w:rsidRPr="00124FE9" w:rsidTr="00124FE9">
        <w:trPr>
          <w:trHeight w:val="57"/>
        </w:trPr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6. Omówienie wyników i poprawa pracy klasowej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dostrzega popełnione błędy i poprawia je z pomocą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FE9" w:rsidRPr="00124FE9" w:rsidRDefault="00124FE9" w:rsidP="00124FE9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 w:rsidRPr="00124FE9">
              <w:rPr>
                <w:rFonts w:cs="AgendaPl RegularCondensed"/>
                <w:color w:val="000000"/>
                <w:sz w:val="20"/>
                <w:szCs w:val="20"/>
              </w:rPr>
              <w:tab/>
              <w:t>samodzielnie poprawia popełnione błędy</w:t>
            </w:r>
          </w:p>
        </w:tc>
      </w:tr>
    </w:tbl>
    <w:p w:rsidR="00124FE9" w:rsidRPr="00124FE9" w:rsidRDefault="00124FE9" w:rsidP="00124FE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32"/>
          <w:szCs w:val="32"/>
        </w:rPr>
      </w:pPr>
    </w:p>
    <w:p w:rsidR="00983221" w:rsidRPr="00124FE9" w:rsidRDefault="00983221" w:rsidP="000B4B28">
      <w:pPr>
        <w:pBdr>
          <w:bottom w:val="single" w:sz="4" w:space="1" w:color="auto"/>
        </w:pBdr>
      </w:pPr>
    </w:p>
    <w:sectPr w:rsidR="00983221" w:rsidRPr="00124FE9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90" w:rsidRDefault="00CD6090" w:rsidP="00285D6F">
      <w:pPr>
        <w:spacing w:after="0" w:line="240" w:lineRule="auto"/>
      </w:pPr>
      <w:r>
        <w:separator/>
      </w:r>
    </w:p>
  </w:endnote>
  <w:endnote w:type="continuationSeparator" w:id="0">
    <w:p w:rsidR="00CD6090" w:rsidRDefault="00CD609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B0" w:rsidRDefault="007D17B0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7D17B0" w:rsidRDefault="007D17B0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94223" wp14:editId="462AE91E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B5846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24FE9">
      <w:t>Anna Drążek</w:t>
    </w:r>
    <w:r>
      <w:t xml:space="preserve">                                                                                                                                       Plan wynikowy</w:t>
    </w:r>
  </w:p>
  <w:p w:rsidR="007D17B0" w:rsidRDefault="007D17B0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E22B2" wp14:editId="4655FA94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77EDB7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</w:p>
  <w:p w:rsidR="007D17B0" w:rsidRDefault="007D17B0" w:rsidP="004545DD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6B7AD99A" wp14:editId="62FAE0FB">
          <wp:extent cx="7047230" cy="252931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30" r="2"/>
                  <a:stretch/>
                </pic:blipFill>
                <pic:spPr bwMode="auto">
                  <a:xfrm>
                    <a:off x="0" y="0"/>
                    <a:ext cx="7112986" cy="255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17B0" w:rsidRDefault="007D17B0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94F6E">
      <w:rPr>
        <w:noProof/>
      </w:rPr>
      <w:t>1</w:t>
    </w:r>
    <w:r>
      <w:fldChar w:fldCharType="end"/>
    </w:r>
  </w:p>
  <w:p w:rsidR="007D17B0" w:rsidRPr="00285D6F" w:rsidRDefault="007D17B0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90" w:rsidRDefault="00CD6090" w:rsidP="00285D6F">
      <w:pPr>
        <w:spacing w:after="0" w:line="240" w:lineRule="auto"/>
      </w:pPr>
      <w:r>
        <w:separator/>
      </w:r>
    </w:p>
  </w:footnote>
  <w:footnote w:type="continuationSeparator" w:id="0">
    <w:p w:rsidR="00CD6090" w:rsidRDefault="00CD609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B0" w:rsidRDefault="007D17B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EF763D" wp14:editId="7497FA9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7B0" w:rsidRDefault="007D17B0" w:rsidP="00435B7E">
    <w:pPr>
      <w:pStyle w:val="Nagwek"/>
      <w:tabs>
        <w:tab w:val="clear" w:pos="9072"/>
      </w:tabs>
      <w:ind w:left="142" w:right="142"/>
    </w:pPr>
  </w:p>
  <w:p w:rsidR="007D17B0" w:rsidRDefault="007D17B0" w:rsidP="00435B7E">
    <w:pPr>
      <w:pStyle w:val="Nagwek"/>
      <w:tabs>
        <w:tab w:val="clear" w:pos="9072"/>
      </w:tabs>
      <w:ind w:left="142" w:right="142"/>
    </w:pPr>
  </w:p>
  <w:p w:rsidR="007D17B0" w:rsidRDefault="007D17B0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 xml:space="preserve">| </w:t>
    </w:r>
    <w:r w:rsidRPr="00124FE9">
      <w:t>Matematyka wokół nas</w:t>
    </w:r>
    <w:r>
      <w:t>| Klasa 2</w:t>
    </w:r>
    <w:r>
      <w:tab/>
      <w:t xml:space="preserve">  </w:t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rPr>
        <w:i/>
      </w:rPr>
      <w:t>Gimnazjum</w:t>
    </w:r>
  </w:p>
  <w:p w:rsidR="007D17B0" w:rsidRDefault="007D17B0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B4B28"/>
    <w:rsid w:val="00102CE3"/>
    <w:rsid w:val="00124FE9"/>
    <w:rsid w:val="001462E0"/>
    <w:rsid w:val="00245DA5"/>
    <w:rsid w:val="00285D6F"/>
    <w:rsid w:val="00294F6E"/>
    <w:rsid w:val="002F1910"/>
    <w:rsid w:val="00317434"/>
    <w:rsid w:val="003572A4"/>
    <w:rsid w:val="00374F4C"/>
    <w:rsid w:val="003767A0"/>
    <w:rsid w:val="003B56FB"/>
    <w:rsid w:val="00435B7E"/>
    <w:rsid w:val="004545DD"/>
    <w:rsid w:val="00555E4D"/>
    <w:rsid w:val="00583664"/>
    <w:rsid w:val="00602ABB"/>
    <w:rsid w:val="00604FCD"/>
    <w:rsid w:val="00672759"/>
    <w:rsid w:val="006B5810"/>
    <w:rsid w:val="006B7499"/>
    <w:rsid w:val="00760FF4"/>
    <w:rsid w:val="007B3CB5"/>
    <w:rsid w:val="007D17B0"/>
    <w:rsid w:val="00804E2A"/>
    <w:rsid w:val="008648E0"/>
    <w:rsid w:val="008C2636"/>
    <w:rsid w:val="009062F5"/>
    <w:rsid w:val="00940FA1"/>
    <w:rsid w:val="00983221"/>
    <w:rsid w:val="009E0F62"/>
    <w:rsid w:val="009E70A6"/>
    <w:rsid w:val="00A5798A"/>
    <w:rsid w:val="00AA3ACA"/>
    <w:rsid w:val="00B263EB"/>
    <w:rsid w:val="00B70C6A"/>
    <w:rsid w:val="00CD6090"/>
    <w:rsid w:val="00DF33F5"/>
    <w:rsid w:val="00EC12C2"/>
    <w:rsid w:val="00F2739C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F962D-D590-460A-8B97-118F68E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Irzedu-pomranczowyE51649MWNkl2">
    <w:name w:val="Tytul I rzedu - pomranczowy (E51649 MWN kl 2)"/>
    <w:basedOn w:val="Brakstyluakapitowego"/>
    <w:uiPriority w:val="99"/>
    <w:rsid w:val="00124FE9"/>
    <w:pPr>
      <w:suppressAutoHyphens/>
      <w:spacing w:before="57" w:after="170" w:line="36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TekstpodstawowyE51649MWNkl2">
    <w:name w:val="Tekst podstawowy (E51649 MWN kl 2)"/>
    <w:basedOn w:val="Brakstyluakapitowego"/>
    <w:uiPriority w:val="99"/>
    <w:rsid w:val="00124FE9"/>
    <w:pPr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unktykropkiE51649MWNkl2">
    <w:name w:val="Punkty: kropki (E51649 MWN kl 2)"/>
    <w:basedOn w:val="TekstpodstawowyE51649MWNkl2"/>
    <w:next w:val="Brakstyluakapitowego"/>
    <w:uiPriority w:val="99"/>
    <w:rsid w:val="00124FE9"/>
    <w:pPr>
      <w:tabs>
        <w:tab w:val="left" w:pos="170"/>
      </w:tabs>
      <w:ind w:left="170" w:hanging="170"/>
    </w:pPr>
  </w:style>
  <w:style w:type="paragraph" w:customStyle="1" w:styleId="TabelatytulTTE51649MWNkl2">
    <w:name w:val="Tabela: tytul TT (E51649 MWN kl 2)"/>
    <w:basedOn w:val="TytulIrzedu-pomranczowyE51649MWNkl2"/>
    <w:uiPriority w:val="99"/>
    <w:rsid w:val="00124FE9"/>
    <w:pPr>
      <w:keepNext/>
      <w:spacing w:line="340" w:lineRule="atLeast"/>
    </w:pPr>
    <w:rPr>
      <w:color w:val="6D6E70"/>
      <w:sz w:val="32"/>
      <w:szCs w:val="32"/>
    </w:rPr>
  </w:style>
  <w:style w:type="paragraph" w:customStyle="1" w:styleId="TabelaglowkaE51649MWNkl2">
    <w:name w:val="Tabela: glowka (E51649 MWN kl 2)"/>
    <w:basedOn w:val="Brakstyluakapitowego"/>
    <w:uiPriority w:val="99"/>
    <w:rsid w:val="00124FE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boczekE51649MWNkl2">
    <w:name w:val="Tabela: boczek (E51649 MWN kl 2)"/>
    <w:basedOn w:val="Brakstyluakapitowego"/>
    <w:uiPriority w:val="99"/>
    <w:rsid w:val="00124FE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TabelatekstpodstawowyE51649MWNkl2">
    <w:name w:val="Tabela: tekst podstawowy (E51649 MWN kl 2)"/>
    <w:basedOn w:val="Brakstyluakapitowego"/>
    <w:next w:val="Brakstyluakapitowego"/>
    <w:uiPriority w:val="99"/>
    <w:rsid w:val="00124FE9"/>
    <w:pPr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srodkowanyE51649MWNkl2">
    <w:name w:val="Tabela: tekst srodkowany (E51649 MWN kl 2)"/>
    <w:basedOn w:val="TabelatekstpodstawowyE51649MWNkl2"/>
    <w:uiPriority w:val="99"/>
    <w:rsid w:val="00124FE9"/>
    <w:pPr>
      <w:jc w:val="center"/>
    </w:pPr>
  </w:style>
  <w:style w:type="paragraph" w:customStyle="1" w:styleId="Tabelapunkty-kropkiIrzeduE51649MWNkl2">
    <w:name w:val="Tabela: punkty - kropki I rzedu (E51649 MWN kl 2)"/>
    <w:basedOn w:val="TabelatekstpodstawowyE51649MWNkl2"/>
    <w:uiPriority w:val="99"/>
    <w:rsid w:val="00124FE9"/>
    <w:pPr>
      <w:tabs>
        <w:tab w:val="left" w:pos="113"/>
      </w:tabs>
      <w:suppressAutoHyphens/>
      <w:ind w:left="113" w:hanging="113"/>
    </w:pPr>
  </w:style>
  <w:style w:type="paragraph" w:customStyle="1" w:styleId="Tabelapunkty-mylnikiIIrzeduE51649MWNkl2">
    <w:name w:val="Tabela: punkty - myślniki II rzedu (E51649 MWN kl 2)"/>
    <w:basedOn w:val="TabelatekstpodstawowyE51649MWNkl2"/>
    <w:uiPriority w:val="99"/>
    <w:rsid w:val="00124FE9"/>
    <w:pPr>
      <w:tabs>
        <w:tab w:val="left" w:pos="113"/>
      </w:tabs>
      <w:ind w:left="340" w:hanging="170"/>
    </w:pPr>
  </w:style>
  <w:style w:type="character" w:customStyle="1" w:styleId="ItalicE51649MWNkl2">
    <w:name w:val="Italic (E51649 MWN kl 2)"/>
    <w:uiPriority w:val="99"/>
    <w:rsid w:val="00124FE9"/>
    <w:rPr>
      <w:i/>
      <w:iCs/>
    </w:rPr>
  </w:style>
  <w:style w:type="character" w:customStyle="1" w:styleId="SymbolE51649MWNkl2">
    <w:name w:val="Symbol (E51649 MWN kl 2)"/>
    <w:uiPriority w:val="99"/>
    <w:rsid w:val="00124FE9"/>
    <w:rPr>
      <w:rFonts w:ascii="Symbol" w:hAnsi="Symbol" w:cs="Symbol"/>
    </w:rPr>
  </w:style>
  <w:style w:type="character" w:customStyle="1" w:styleId="E51649MWNkl2">
    <w:name w:val="% (E51649 MWN kl 2)"/>
    <w:uiPriority w:val="99"/>
    <w:rsid w:val="00124FE9"/>
    <w:rPr>
      <w:rFonts w:ascii="Times New Roman" w:hAnsi="Times New Roman" w:cs="Times New Roman"/>
    </w:rPr>
  </w:style>
  <w:style w:type="character" w:customStyle="1" w:styleId="PunktykropkiniebieskieE51649MWNkl2">
    <w:name w:val="Punkty: kropki niebieskie (E51649 MWN kl 2)"/>
    <w:uiPriority w:val="99"/>
    <w:rsid w:val="00124FE9"/>
    <w:rPr>
      <w:rFonts w:ascii="AgendaPl Bold" w:hAnsi="AgendaPl Bold" w:cs="AgendaPl Bold"/>
      <w:b/>
      <w:bCs/>
      <w:color w:val="024D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EEF5-5C80-4A02-BC20-1C905F4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ekabed@wp.pl</cp:lastModifiedBy>
  <cp:revision>2</cp:revision>
  <dcterms:created xsi:type="dcterms:W3CDTF">2017-11-20T20:10:00Z</dcterms:created>
  <dcterms:modified xsi:type="dcterms:W3CDTF">2017-11-20T20:10:00Z</dcterms:modified>
</cp:coreProperties>
</file>